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2413076</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w:t>
      </w:r>
      <w:bookmarkStart w:id="0" w:name="_GoBack"/>
      <w:bookmarkEnd w:id="0"/>
      <w:r>
        <w:rPr>
          <w:rFonts w:hint="eastAsia" w:eastAsia="宋体"/>
          <w:color w:val="auto"/>
          <w:sz w:val="24"/>
          <w:lang w:val="en-US" w:eastAsia="zh-CN"/>
        </w:rPr>
        <w:t>n CSSF optimization of R19 RRM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8.15.2.2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recent RAN plenary 103 meeting</w:t>
      </w:r>
      <w:r>
        <w:rPr>
          <w:rFonts w:hint="default" w:ascii="Arial" w:hAnsi="Arial" w:cs="Arial"/>
          <w:lang w:val="en-US" w:eastAsia="zh-CN"/>
        </w:rPr>
        <w:t xml:space="preserve">, </w:t>
      </w:r>
      <w:r>
        <w:rPr>
          <w:rFonts w:hint="eastAsia" w:cs="Arial"/>
          <w:lang w:val="en-US" w:eastAsia="zh-CN"/>
        </w:rPr>
        <w:t>a new R19 WID of RRM enhancements has been approved in [1]. We summarize the objectives of the WID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4"/>
              <w:pageBreakBefore w:val="0"/>
              <w:kinsoku/>
              <w:wordWrap/>
              <w:topLinePunct w:val="0"/>
              <w:bidi w:val="0"/>
              <w:snapToGrid/>
              <w:spacing w:before="0" w:after="0" w:line="240" w:lineRule="auto"/>
              <w:rPr>
                <w:color w:val="auto"/>
              </w:rPr>
            </w:pPr>
            <w:r>
              <w:rPr>
                <w:color w:val="auto"/>
              </w:rPr>
              <w:t>Objective of Core part WI</w:t>
            </w:r>
          </w:p>
          <w:p>
            <w:pPr>
              <w:pageBreakBefore w:val="0"/>
              <w:numPr>
                <w:ilvl w:val="0"/>
                <w:numId w:val="4"/>
              </w:numPr>
              <w:kinsoku/>
              <w:wordWrap/>
              <w:topLinePunct w:val="0"/>
              <w:bidi w:val="0"/>
              <w:snapToGrid/>
              <w:spacing w:line="240" w:lineRule="auto"/>
              <w:rPr>
                <w:color w:val="auto"/>
                <w:lang w:val="en-US" w:eastAsia="zh-TW"/>
              </w:rPr>
            </w:pPr>
            <w:r>
              <w:rPr>
                <w:color w:val="auto"/>
                <w:lang w:eastAsia="zh-TW"/>
              </w:rPr>
              <w:t>FR2-1 SSB based L3 measurement delay reduction for connected mode</w:t>
            </w:r>
          </w:p>
          <w:p>
            <w:pPr>
              <w:pageBreakBefore w:val="0"/>
              <w:numPr>
                <w:ilvl w:val="1"/>
                <w:numId w:val="4"/>
              </w:numPr>
              <w:kinsoku/>
              <w:wordWrap/>
              <w:topLinePunct w:val="0"/>
              <w:bidi w:val="0"/>
              <w:snapToGrid/>
              <w:spacing w:line="240" w:lineRule="auto"/>
              <w:rPr>
                <w:color w:val="auto"/>
                <w:lang w:val="en-US"/>
              </w:rPr>
            </w:pPr>
            <w:r>
              <w:rPr>
                <w:color w:val="auto"/>
                <w:lang w:val="en-US"/>
              </w:rPr>
              <w:t>For UE</w:t>
            </w:r>
            <w:r>
              <w:rPr>
                <w:rFonts w:hint="eastAsia"/>
                <w:color w:val="auto"/>
                <w:lang w:val="en-US" w:eastAsia="zh-CN"/>
              </w:rPr>
              <w:t xml:space="preserve"> </w:t>
            </w:r>
            <w:r>
              <w:rPr>
                <w:rFonts w:eastAsia="等线"/>
                <w:color w:val="auto"/>
                <w:lang w:val="en-US" w:eastAsia="zh-CN"/>
              </w:rPr>
              <w:t>supporting</w:t>
            </w:r>
            <w:r>
              <w:rPr>
                <w:color w:val="auto"/>
                <w:lang w:val="en-US"/>
              </w:rPr>
              <w:t xml:space="preserve"> multiple-Rx simultaneous reception on single carrier: </w:t>
            </w:r>
          </w:p>
          <w:p>
            <w:pPr>
              <w:pageBreakBefore w:val="0"/>
              <w:numPr>
                <w:ilvl w:val="2"/>
                <w:numId w:val="4"/>
              </w:numPr>
              <w:kinsoku/>
              <w:wordWrap/>
              <w:topLinePunct w:val="0"/>
              <w:bidi w:val="0"/>
              <w:snapToGrid/>
              <w:spacing w:line="240" w:lineRule="auto"/>
              <w:rPr>
                <w:color w:val="auto"/>
                <w:lang w:val="en-US"/>
              </w:rPr>
            </w:pPr>
            <w:r>
              <w:rPr>
                <w:color w:val="auto"/>
                <w:lang w:val="en-US"/>
              </w:rPr>
              <w:t xml:space="preserve">Study </w:t>
            </w:r>
            <w:r>
              <w:rPr>
                <w:rFonts w:eastAsia="等线"/>
                <w:color w:val="auto"/>
                <w:lang w:val="en-US" w:eastAsia="zh-CN"/>
              </w:rPr>
              <w:t xml:space="preserve">suitable scenarios and conditions </w:t>
            </w:r>
            <w:r>
              <w:rPr>
                <w:color w:val="auto"/>
                <w:lang w:val="en-US"/>
              </w:rPr>
              <w:t xml:space="preserve">and, if feasible, </w:t>
            </w:r>
            <w:r>
              <w:rPr>
                <w:rFonts w:eastAsia="等线"/>
                <w:color w:val="auto"/>
                <w:lang w:val="en-US" w:eastAsia="zh-CN"/>
              </w:rPr>
              <w:t xml:space="preserve">introduce methods to </w:t>
            </w:r>
            <w:r>
              <w:rPr>
                <w:color w:val="auto"/>
                <w:lang w:val="en-US"/>
              </w:rPr>
              <w:t xml:space="preserve">reduce </w:t>
            </w:r>
            <w:r>
              <w:rPr>
                <w:color w:val="auto"/>
              </w:rPr>
              <w:t>FR2-1 L3 measurement delay</w:t>
            </w:r>
            <w:r>
              <w:rPr>
                <w:color w:val="auto"/>
                <w:lang w:val="en-US"/>
              </w:rPr>
              <w:t xml:space="preserve"> by optimizing:</w:t>
            </w:r>
          </w:p>
          <w:p>
            <w:pPr>
              <w:pageBreakBefore w:val="0"/>
              <w:numPr>
                <w:ilvl w:val="3"/>
                <w:numId w:val="4"/>
              </w:numPr>
              <w:kinsoku/>
              <w:wordWrap/>
              <w:topLinePunct w:val="0"/>
              <w:bidi w:val="0"/>
              <w:snapToGrid/>
              <w:spacing w:line="240" w:lineRule="auto"/>
              <w:rPr>
                <w:rFonts w:eastAsia="等线"/>
                <w:color w:val="auto"/>
                <w:lang w:val="en-US" w:eastAsia="zh-CN"/>
              </w:rPr>
            </w:pPr>
            <w:r>
              <w:rPr>
                <w:rFonts w:eastAsia="等线"/>
                <w:color w:val="auto"/>
                <w:lang w:val="en-US" w:eastAsia="zh-CN"/>
              </w:rPr>
              <w:t xml:space="preserve">Rx beam sweeping factor </w:t>
            </w:r>
          </w:p>
          <w:p>
            <w:pPr>
              <w:pageBreakBefore w:val="0"/>
              <w:numPr>
                <w:ilvl w:val="1"/>
                <w:numId w:val="4"/>
              </w:numPr>
              <w:kinsoku/>
              <w:wordWrap/>
              <w:topLinePunct w:val="0"/>
              <w:bidi w:val="0"/>
              <w:snapToGrid/>
              <w:spacing w:line="240" w:lineRule="auto"/>
              <w:rPr>
                <w:color w:val="auto"/>
                <w:lang w:val="en-US" w:eastAsia="zh-CN"/>
              </w:rPr>
            </w:pPr>
            <w:r>
              <w:rPr>
                <w:rFonts w:hint="eastAsia"/>
                <w:color w:val="auto"/>
                <w:lang w:val="en-US" w:eastAsia="zh-CN"/>
              </w:rPr>
              <w:t>For</w:t>
            </w:r>
            <w:r>
              <w:rPr>
                <w:color w:val="auto"/>
                <w:lang w:val="en-US" w:eastAsia="zh-CN"/>
              </w:rPr>
              <w:t xml:space="preserve"> </w:t>
            </w:r>
            <w:r>
              <w:rPr>
                <w:rFonts w:hint="eastAsia"/>
                <w:color w:val="auto"/>
                <w:lang w:val="en-US" w:eastAsia="zh-CN"/>
              </w:rPr>
              <w:t xml:space="preserve">UE </w:t>
            </w:r>
            <w:r>
              <w:rPr>
                <w:color w:val="auto"/>
                <w:lang w:val="en-US" w:eastAsia="zh-CN"/>
              </w:rPr>
              <w:t xml:space="preserve">not in </w:t>
            </w:r>
            <w:r>
              <w:rPr>
                <w:rFonts w:hint="eastAsia"/>
                <w:color w:val="auto"/>
                <w:lang w:val="en-US" w:eastAsia="zh-CN"/>
              </w:rPr>
              <w:t>multiple-Rx simultaneous reception mode:</w:t>
            </w:r>
          </w:p>
          <w:p>
            <w:pPr>
              <w:pageBreakBefore w:val="0"/>
              <w:numPr>
                <w:ilvl w:val="2"/>
                <w:numId w:val="4"/>
              </w:numPr>
              <w:kinsoku/>
              <w:wordWrap/>
              <w:topLinePunct w:val="0"/>
              <w:bidi w:val="0"/>
              <w:snapToGrid/>
              <w:spacing w:line="240" w:lineRule="auto"/>
              <w:rPr>
                <w:color w:val="auto"/>
                <w:lang w:val="en-US"/>
              </w:rPr>
            </w:pPr>
            <w:r>
              <w:rPr>
                <w:color w:val="auto"/>
                <w:lang w:val="en-US"/>
              </w:rPr>
              <w:t xml:space="preserve">Study </w:t>
            </w:r>
            <w:r>
              <w:rPr>
                <w:rFonts w:eastAsia="等线"/>
                <w:color w:val="auto"/>
                <w:lang w:val="en-US" w:eastAsia="zh-CN"/>
              </w:rPr>
              <w:t xml:space="preserve">suitable scenarios and conditions </w:t>
            </w:r>
            <w:r>
              <w:rPr>
                <w:color w:val="auto"/>
                <w:lang w:val="en-US"/>
              </w:rPr>
              <w:t xml:space="preserve">and, if feasible, </w:t>
            </w:r>
            <w:r>
              <w:rPr>
                <w:rFonts w:eastAsia="等线"/>
                <w:color w:val="auto"/>
                <w:lang w:val="en-US" w:eastAsia="zh-CN"/>
              </w:rPr>
              <w:t>introduce methods</w:t>
            </w:r>
            <w:r>
              <w:rPr>
                <w:color w:val="auto"/>
                <w:lang w:val="en-US"/>
              </w:rPr>
              <w:t xml:space="preserve"> to reduce </w:t>
            </w:r>
            <w:r>
              <w:rPr>
                <w:color w:val="auto"/>
              </w:rPr>
              <w:t>FR2-1 L3</w:t>
            </w:r>
            <w:r>
              <w:rPr>
                <w:rFonts w:eastAsia="等线"/>
                <w:color w:val="auto"/>
                <w:lang w:eastAsia="zh-CN"/>
              </w:rPr>
              <w:t xml:space="preserve"> </w:t>
            </w:r>
            <w:r>
              <w:rPr>
                <w:color w:val="auto"/>
              </w:rPr>
              <w:t>measurement delay</w:t>
            </w:r>
            <w:r>
              <w:rPr>
                <w:color w:val="auto"/>
                <w:lang w:val="en-US"/>
              </w:rPr>
              <w:t xml:space="preserve"> by optimizing:</w:t>
            </w:r>
          </w:p>
          <w:p>
            <w:pPr>
              <w:pageBreakBefore w:val="0"/>
              <w:numPr>
                <w:ilvl w:val="3"/>
                <w:numId w:val="4"/>
              </w:numPr>
              <w:kinsoku/>
              <w:wordWrap/>
              <w:topLinePunct w:val="0"/>
              <w:bidi w:val="0"/>
              <w:snapToGrid/>
              <w:spacing w:line="240" w:lineRule="auto"/>
              <w:rPr>
                <w:rFonts w:eastAsia="Batang"/>
                <w:color w:val="auto"/>
                <w:lang w:val="en-US" w:eastAsia="en-US"/>
              </w:rPr>
            </w:pPr>
            <w:r>
              <w:rPr>
                <w:rFonts w:eastAsia="等线"/>
                <w:color w:val="auto"/>
                <w:lang w:val="en-US" w:eastAsia="zh-CN"/>
              </w:rPr>
              <w:t xml:space="preserve"> CSSF outside gap in CA/DC scenarios </w:t>
            </w:r>
          </w:p>
          <w:p>
            <w:pPr>
              <w:pageBreakBefore w:val="0"/>
              <w:numPr>
                <w:ilvl w:val="4"/>
                <w:numId w:val="5"/>
              </w:numPr>
              <w:kinsoku/>
              <w:wordWrap/>
              <w:topLinePunct w:val="0"/>
              <w:bidi w:val="0"/>
              <w:snapToGrid/>
              <w:spacing w:line="240" w:lineRule="auto"/>
              <w:rPr>
                <w:rFonts w:eastAsia="Batang"/>
                <w:color w:val="auto"/>
                <w:lang w:val="en-US" w:eastAsia="zh-CN"/>
              </w:rPr>
            </w:pPr>
            <w:r>
              <w:rPr>
                <w:rFonts w:eastAsia="等线"/>
                <w:color w:val="auto"/>
                <w:lang w:val="en-US" w:eastAsia="zh-CN"/>
              </w:rPr>
              <w:t>Baseline assumption on number of searcher</w:t>
            </w:r>
            <w:r>
              <w:rPr>
                <w:rFonts w:hint="eastAsia" w:eastAsia="等线"/>
                <w:color w:val="auto"/>
                <w:lang w:val="en-US" w:eastAsia="zh-CN"/>
              </w:rPr>
              <w:t>s</w:t>
            </w:r>
            <w:r>
              <w:rPr>
                <w:rFonts w:eastAsia="等线"/>
                <w:color w:val="auto"/>
                <w:lang w:val="en-US" w:eastAsia="zh-CN"/>
              </w:rPr>
              <w:t xml:space="preserve"> is 2</w:t>
            </w:r>
          </w:p>
          <w:p>
            <w:pPr>
              <w:pageBreakBefore w:val="0"/>
              <w:numPr>
                <w:ilvl w:val="0"/>
                <w:numId w:val="4"/>
              </w:numPr>
              <w:kinsoku/>
              <w:wordWrap/>
              <w:topLinePunct w:val="0"/>
              <w:bidi w:val="0"/>
              <w:snapToGrid/>
              <w:spacing w:line="240" w:lineRule="auto"/>
              <w:rPr>
                <w:color w:val="auto"/>
                <w:lang w:val="en-US"/>
              </w:rPr>
            </w:pPr>
            <w:r>
              <w:rPr>
                <w:color w:val="auto"/>
                <w:lang w:eastAsia="zh-TW"/>
              </w:rPr>
              <w:t xml:space="preserve">Fast SCell activation </w:t>
            </w:r>
            <w:r>
              <w:rPr>
                <w:rFonts w:eastAsia="等线"/>
                <w:color w:val="auto"/>
                <w:lang w:eastAsia="zh-CN"/>
              </w:rPr>
              <w:t xml:space="preserve">for UE supporting Rel-18 EMR </w:t>
            </w:r>
          </w:p>
          <w:p>
            <w:pPr>
              <w:pageBreakBefore w:val="0"/>
              <w:numPr>
                <w:ilvl w:val="1"/>
                <w:numId w:val="4"/>
              </w:numPr>
              <w:kinsoku/>
              <w:wordWrap/>
              <w:topLinePunct w:val="0"/>
              <w:bidi w:val="0"/>
              <w:snapToGrid/>
              <w:spacing w:line="240" w:lineRule="auto"/>
              <w:rPr>
                <w:color w:val="auto"/>
                <w:lang w:val="en-US"/>
              </w:rPr>
            </w:pPr>
            <w:r>
              <w:rPr>
                <w:color w:val="auto"/>
                <w:lang w:val="en-US"/>
              </w:rPr>
              <w:t xml:space="preserve">Study and, if feasible, to reduce the SCell activation delay with </w:t>
            </w:r>
            <w:r>
              <w:rPr>
                <w:color w:val="auto"/>
                <w:lang w:val="en-US" w:eastAsia="zh-CN"/>
              </w:rPr>
              <w:t xml:space="preserve">valid </w:t>
            </w:r>
            <w:r>
              <w:rPr>
                <w:color w:val="auto"/>
                <w:lang w:val="en-US"/>
              </w:rPr>
              <w:t xml:space="preserve">EMR reporting </w:t>
            </w:r>
          </w:p>
          <w:p>
            <w:pPr>
              <w:pageBreakBefore w:val="0"/>
              <w:numPr>
                <w:ilvl w:val="1"/>
                <w:numId w:val="4"/>
              </w:numPr>
              <w:kinsoku/>
              <w:wordWrap/>
              <w:topLinePunct w:val="0"/>
              <w:bidi w:val="0"/>
              <w:snapToGrid/>
              <w:spacing w:line="240" w:lineRule="auto"/>
              <w:rPr>
                <w:color w:val="auto"/>
                <w:lang w:val="en-US" w:eastAsia="zh-CN"/>
              </w:rPr>
            </w:pPr>
            <w:r>
              <w:rPr>
                <w:color w:val="auto"/>
                <w:lang w:val="en-US" w:eastAsia="zh-CN"/>
              </w:rPr>
              <w:t xml:space="preserve">Apply fast scell activation in FR1 and FR2-1 </w:t>
            </w:r>
          </w:p>
          <w:p>
            <w:pPr>
              <w:pageBreakBefore w:val="0"/>
              <w:numPr>
                <w:ilvl w:val="1"/>
                <w:numId w:val="4"/>
              </w:numPr>
              <w:kinsoku/>
              <w:wordWrap/>
              <w:topLinePunct w:val="0"/>
              <w:bidi w:val="0"/>
              <w:snapToGrid/>
              <w:spacing w:line="240" w:lineRule="auto"/>
              <w:rPr>
                <w:rFonts w:hint="eastAsia"/>
                <w:color w:val="auto"/>
                <w:lang w:val="en-US" w:eastAsia="zh-CN"/>
              </w:rPr>
            </w:pPr>
            <w:r>
              <w:rPr>
                <w:color w:val="auto"/>
                <w:lang w:val="en-US" w:eastAsia="zh-CN"/>
              </w:rPr>
              <w:t>Note: RAN4 to start this work from Q3’2024 and aim for completion in Dec’2024. Workplan for this bullet can be discussed in May’2024</w:t>
            </w:r>
          </w:p>
          <w:p>
            <w:pPr>
              <w:pStyle w:val="4"/>
              <w:pageBreakBefore w:val="0"/>
              <w:kinsoku/>
              <w:wordWrap/>
              <w:topLinePunct w:val="0"/>
              <w:bidi w:val="0"/>
              <w:snapToGrid/>
              <w:spacing w:before="0" w:after="0" w:line="240" w:lineRule="auto"/>
              <w:rPr>
                <w:color w:val="auto"/>
              </w:rPr>
            </w:pPr>
            <w:r>
              <w:rPr>
                <w:color w:val="auto"/>
              </w:rPr>
              <w:t>Objective of Performance part WI</w:t>
            </w:r>
          </w:p>
          <w:p>
            <w:pPr>
              <w:pStyle w:val="52"/>
              <w:pageBreakBefore w:val="0"/>
              <w:kinsoku/>
              <w:wordWrap/>
              <w:topLinePunct w:val="0"/>
              <w:bidi w:val="0"/>
              <w:snapToGrid/>
              <w:spacing w:after="0" w:line="240" w:lineRule="auto"/>
              <w:rPr>
                <w:color w:val="auto"/>
              </w:rPr>
            </w:pPr>
            <w:r>
              <w:rPr>
                <w:color w:val="auto"/>
              </w:rPr>
              <w:t>NOTE:</w:t>
            </w:r>
            <w:r>
              <w:rPr>
                <w:color w:val="auto"/>
              </w:rPr>
              <w:tab/>
            </w:r>
            <w:r>
              <w:rPr>
                <w:color w:val="auto"/>
              </w:rPr>
              <w:t>Leave empty if the WI proposal does not contain a RAN performance part.</w:t>
            </w:r>
          </w:p>
          <w:p>
            <w:pPr>
              <w:pageBreakBefore w:val="0"/>
              <w:kinsoku/>
              <w:wordWrap/>
              <w:topLinePunct w:val="0"/>
              <w:bidi w:val="0"/>
              <w:snapToGrid/>
              <w:spacing w:line="240" w:lineRule="auto"/>
              <w:rPr>
                <w:rFonts w:hint="eastAsia" w:ascii="Arial" w:hAnsi="Arial" w:cs="Arial"/>
                <w:sz w:val="20"/>
                <w:szCs w:val="20"/>
                <w:u w:val="none"/>
                <w:lang w:val="en-US" w:eastAsia="zh-CN"/>
              </w:rPr>
            </w:pPr>
            <w:r>
              <w:rPr>
                <w:rFonts w:eastAsia="Batang"/>
                <w:lang w:val="en-US"/>
              </w:rPr>
              <w:t>Specify RRM performance requirements and test cases for the Core part enhancements.</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It is obviously two sub topics are involved in this new WID. The 1</w:t>
      </w:r>
      <w:r>
        <w:rPr>
          <w:rFonts w:hint="eastAsia" w:cs="Arial"/>
          <w:vertAlign w:val="superscript"/>
          <w:lang w:val="en-US" w:eastAsia="zh-CN"/>
        </w:rPr>
        <w:t>st</w:t>
      </w:r>
      <w:r>
        <w:rPr>
          <w:rFonts w:hint="eastAsia" w:cs="Arial"/>
          <w:lang w:val="en-US" w:eastAsia="zh-CN"/>
        </w:rPr>
        <w:t xml:space="preserve"> topic refers to the enhancements on L3 measurements, through multi-Rx and CSSF reduction to reduce the L3 measurement delay. And the 2</w:t>
      </w:r>
      <w:r>
        <w:rPr>
          <w:rFonts w:hint="eastAsia" w:cs="Arial"/>
          <w:vertAlign w:val="superscript"/>
          <w:lang w:val="en-US" w:eastAsia="zh-CN"/>
        </w:rPr>
        <w:t>nd</w:t>
      </w:r>
      <w:r>
        <w:rPr>
          <w:rFonts w:hint="eastAsia" w:cs="Arial"/>
          <w:lang w:val="en-US" w:eastAsia="zh-CN"/>
        </w:rPr>
        <w:t xml:space="preserve"> topic aims to further accelerate the SCell activation procedure by applying the EMR reporting. Both the two sub topics are beneficial to reduce the latency and relieve the corresponding interruption impact on the system performance. After discussion in last meeting, the work plan was approved in [2], the 2</w:t>
      </w:r>
      <w:r>
        <w:rPr>
          <w:rFonts w:hint="eastAsia" w:cs="Arial"/>
          <w:vertAlign w:val="superscript"/>
          <w:lang w:val="en-US" w:eastAsia="zh-CN"/>
        </w:rPr>
        <w:t>nd</w:t>
      </w:r>
      <w:r>
        <w:rPr>
          <w:rFonts w:hint="eastAsia" w:cs="Arial"/>
          <w:lang w:val="en-US" w:eastAsia="zh-CN"/>
        </w:rPr>
        <w:t xml:space="preserve"> topic would start from 112 meeting.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this paper, we provide our views on the 2</w:t>
      </w:r>
      <w:r>
        <w:rPr>
          <w:rFonts w:hint="eastAsia" w:cs="Arial"/>
          <w:vertAlign w:val="superscript"/>
          <w:lang w:val="en-US" w:eastAsia="zh-CN"/>
        </w:rPr>
        <w:t>nd</w:t>
      </w:r>
      <w:r>
        <w:rPr>
          <w:rFonts w:hint="eastAsia" w:cs="Arial"/>
          <w:lang w:val="en-US" w:eastAsia="zh-CN"/>
        </w:rPr>
        <w:t xml:space="preserve"> adaptation of the 1</w:t>
      </w:r>
      <w:r>
        <w:rPr>
          <w:rFonts w:hint="eastAsia" w:cs="Arial"/>
          <w:vertAlign w:val="superscript"/>
          <w:lang w:val="en-US" w:eastAsia="zh-CN"/>
        </w:rPr>
        <w:t>st</w:t>
      </w:r>
      <w:r>
        <w:rPr>
          <w:rFonts w:hint="eastAsia" w:cs="Arial"/>
          <w:lang w:val="en-US" w:eastAsia="zh-CN"/>
        </w:rPr>
        <w:t xml:space="preserve"> topic.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bidi w:val="0"/>
        <w:rPr>
          <w:rFonts w:hint="eastAsia"/>
          <w:lang w:val="en-US" w:eastAsia="zh-CN"/>
        </w:rPr>
      </w:pPr>
      <w:r>
        <w:rPr>
          <w:rFonts w:hint="eastAsia"/>
          <w:lang w:val="en-US" w:eastAsia="zh-CN"/>
        </w:rPr>
        <w:t>Regarding this sub topic, we share our views from the following aspects:</w:t>
      </w:r>
    </w:p>
    <w:p>
      <w:pPr>
        <w:numPr>
          <w:ilvl w:val="0"/>
          <w:numId w:val="6"/>
        </w:numPr>
        <w:ind w:left="420" w:leftChars="0" w:hanging="420" w:firstLineChars="0"/>
        <w:rPr>
          <w:rFonts w:hint="default"/>
          <w:lang w:val="en-US" w:eastAsia="zh-CN"/>
        </w:rPr>
      </w:pPr>
      <w:r>
        <w:rPr>
          <w:rFonts w:hint="eastAsia"/>
          <w:lang w:val="en-US" w:eastAsia="zh-CN"/>
        </w:rPr>
        <w:t>Applicability scenario</w:t>
      </w:r>
    </w:p>
    <w:p>
      <w:pPr>
        <w:numPr>
          <w:ilvl w:val="0"/>
          <w:numId w:val="6"/>
        </w:numPr>
        <w:ind w:left="420" w:leftChars="0" w:hanging="420" w:firstLineChars="0"/>
        <w:rPr>
          <w:rFonts w:hint="default"/>
          <w:lang w:val="en-US" w:eastAsia="zh-CN"/>
        </w:rPr>
      </w:pPr>
      <w:r>
        <w:rPr>
          <w:rFonts w:hint="eastAsia"/>
          <w:lang w:val="en-US" w:eastAsia="zh-CN"/>
        </w:rPr>
        <w:t>Applicability condition</w:t>
      </w:r>
    </w:p>
    <w:p>
      <w:pPr>
        <w:numPr>
          <w:ilvl w:val="0"/>
          <w:numId w:val="6"/>
        </w:numPr>
        <w:ind w:left="420" w:leftChars="0" w:hanging="420" w:firstLineChars="0"/>
        <w:rPr>
          <w:rFonts w:hint="default"/>
          <w:lang w:val="en-US" w:eastAsia="zh-CN"/>
        </w:rPr>
      </w:pPr>
      <w:r>
        <w:rPr>
          <w:rFonts w:hint="eastAsia"/>
          <w:lang w:val="en-US" w:eastAsia="zh-CN"/>
        </w:rPr>
        <w:t>Exact solution</w:t>
      </w:r>
    </w:p>
    <w:p>
      <w:pPr>
        <w:numPr>
          <w:ilvl w:val="0"/>
          <w:numId w:val="0"/>
        </w:numPr>
        <w:ind w:leftChars="0"/>
        <w:rPr>
          <w:rFonts w:hint="default"/>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Applicability scenario</w:t>
      </w:r>
    </w:p>
    <w:p>
      <w:pPr>
        <w:pStyle w:val="9"/>
        <w:bidi w:val="0"/>
        <w:rPr>
          <w:rFonts w:hint="eastAsia"/>
          <w:lang w:val="en-US" w:eastAsia="zh-CN"/>
        </w:rPr>
      </w:pPr>
      <w:r>
        <w:rPr>
          <w:rFonts w:hint="eastAsia"/>
          <w:lang w:val="en-US" w:eastAsia="zh-CN"/>
        </w:rPr>
        <w:t xml:space="preserve">For the CSSF outside gap enhancement in CA/DC, for the UE supporting multiple carriers in CA/DC, restricted to the assumption of 2 searchers, one searcher is applied to PCC specially, and the other searcher is shared by all SCCs and neighbour cells, so CSSF is introduced in legacy L3 measurement in CA/DC. With the increase of carrier number, the CSSF may be large, Accordingly, the measurement/identification period would be pretty large. If the CSSF can be reduced with some solution, the L3 measurement period would be reduced. </w:t>
      </w:r>
    </w:p>
    <w:p>
      <w:pPr>
        <w:pStyle w:val="9"/>
        <w:bidi w:val="0"/>
        <w:rPr>
          <w:rFonts w:hint="eastAsia"/>
          <w:lang w:val="en-US" w:eastAsia="zh-CN"/>
        </w:rPr>
      </w:pPr>
      <w:r>
        <w:rPr>
          <w:rFonts w:hint="eastAsia"/>
          <w:lang w:val="en-US" w:eastAsia="zh-CN"/>
        </w:rPr>
        <w:t>In legacy, for the case of DC, EN-DC, NE-DC and NR-DC are all considered in the CSSF outside gap identification. Similarly, all these DC scenarios are included in this R19 scope for the CSSF enhancement.</w:t>
      </w:r>
    </w:p>
    <w:p>
      <w:pPr>
        <w:pStyle w:val="9"/>
        <w:bidi w:val="0"/>
        <w:rPr>
          <w:rFonts w:hint="default"/>
          <w:lang w:val="en-US" w:eastAsia="zh-CN"/>
        </w:rPr>
      </w:pPr>
      <w:r>
        <w:rPr>
          <w:rFonts w:hint="eastAsia"/>
          <w:b/>
          <w:bCs/>
          <w:lang w:val="en-US" w:eastAsia="zh-CN"/>
        </w:rPr>
        <w:t>Proposal 1: For the CSSF enhancement, CA, EN-DC, NE-DC and NR-DC are applicable scenarios.</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Applicability condition</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This issue was warmly discussed during 110bis meeting around the following option: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7"/>
              </w:numPr>
              <w:overflowPunct w:val="0"/>
              <w:autoSpaceDE w:val="0"/>
              <w:autoSpaceDN w:val="0"/>
              <w:adjustRightInd w:val="0"/>
              <w:textAlignment w:val="baseline"/>
              <w:rPr>
                <w:rFonts w:hint="default"/>
                <w:vertAlign w:val="baseline"/>
                <w:lang w:val="en-US" w:eastAsia="zh-CN"/>
              </w:rPr>
            </w:pPr>
            <w:r>
              <w:rPr>
                <w:szCs w:val="21"/>
                <w:highlight w:val="none"/>
              </w:rPr>
              <w:t>Option 1 (ZTE): It should be clarified that “For UE not in multiple-Rx simultaneous reception mode” includes two cases: 1) The UE is not capable of multi-Rx; 2) The UE is capable of multi-Rx but work in single-Rx currently.</w:t>
            </w:r>
          </w:p>
        </w:tc>
      </w:tr>
    </w:tbl>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eastAsia"/>
          <w:lang w:val="en-US" w:eastAsia="zh-CN"/>
        </w:rPr>
      </w:pPr>
      <w:r>
        <w:rPr>
          <w:rFonts w:hint="eastAsia"/>
          <w:lang w:val="en-US" w:eastAsia="zh-CN"/>
        </w:rPr>
        <w:t>During the discussion, companies reach consensus on 1) but still diverse on 2). So finally the following agreements achieved in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after="0"/>
              <w:rPr>
                <w:sz w:val="20"/>
                <w:szCs w:val="20"/>
              </w:rPr>
            </w:pPr>
            <w:r>
              <w:rPr>
                <w:sz w:val="20"/>
                <w:szCs w:val="20"/>
                <w:highlight w:val="green"/>
              </w:rPr>
              <w:t>Agreement</w:t>
            </w:r>
            <w:r>
              <w:rPr>
                <w:sz w:val="20"/>
                <w:szCs w:val="20"/>
              </w:rPr>
              <w:t>:</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textAlignment w:val="auto"/>
              <w:rPr>
                <w:rFonts w:hint="default"/>
                <w:vertAlign w:val="baseline"/>
                <w:lang w:val="en-US" w:eastAsia="zh-CN"/>
              </w:rPr>
            </w:pPr>
            <w:r>
              <w:rPr>
                <w:sz w:val="20"/>
                <w:szCs w:val="20"/>
              </w:rPr>
              <w:t xml:space="preserve">Rel-19 discussion on </w:t>
            </w:r>
            <w:r>
              <w:rPr>
                <w:sz w:val="20"/>
                <w:szCs w:val="20"/>
                <w:lang w:eastAsia="ko-KR"/>
              </w:rPr>
              <w:t>CSSF optimization</w:t>
            </w:r>
            <w:r>
              <w:rPr>
                <w:sz w:val="20"/>
                <w:szCs w:val="20"/>
              </w:rPr>
              <w:t xml:space="preserve"> starts for the case UE is not capable of Rel-18 multi-Rx simultaeous reception, </w:t>
            </w:r>
            <w:r>
              <w:rPr>
                <w:sz w:val="20"/>
                <w:szCs w:val="20"/>
                <w:highlight w:val="yellow"/>
              </w:rPr>
              <w:t>further discuss whether/how it can be applied to the case UE is capable of Rel-18 multi-Rx simultaeous reception but work in single-Rx currently.</w:t>
            </w:r>
          </w:p>
        </w:tc>
      </w:tr>
    </w:tbl>
    <w:p>
      <w:pPr>
        <w:pStyle w:val="9"/>
        <w:bidi w:val="0"/>
        <w:rPr>
          <w:rFonts w:hint="eastAsia"/>
          <w:lang w:val="en-US" w:eastAsia="zh-CN"/>
        </w:rPr>
      </w:pPr>
      <w:r>
        <w:rPr>
          <w:rFonts w:hint="eastAsia"/>
          <w:lang w:val="en-US" w:eastAsia="zh-CN"/>
        </w:rPr>
        <w:t>We believe the intention of this R19 WID aim to reach two optimization: 1) For the multi-Rx enabling case, optimizing the system performance by reducing the L3 measurement latency, since which is not covered by R18 multi-Rx. 2) For non multi-Rx case, i.e. normal case, optimizing the system performance by controlling the CSSF to accommodate more carriers configured. So actually the 2</w:t>
      </w:r>
      <w:r>
        <w:rPr>
          <w:rFonts w:hint="eastAsia"/>
          <w:vertAlign w:val="superscript"/>
          <w:lang w:val="en-US" w:eastAsia="zh-CN"/>
        </w:rPr>
        <w:t>nd</w:t>
      </w:r>
      <w:r>
        <w:rPr>
          <w:rFonts w:hint="eastAsia"/>
          <w:lang w:val="en-US" w:eastAsia="zh-CN"/>
        </w:rPr>
        <w:t xml:space="preserve"> intention is irrelevant to whether multi-Rx enabling. However, so as to simplify the scenario and distinguish the two intentions, the 2</w:t>
      </w:r>
      <w:r>
        <w:rPr>
          <w:rFonts w:hint="eastAsia"/>
          <w:vertAlign w:val="superscript"/>
          <w:lang w:val="en-US" w:eastAsia="zh-CN"/>
        </w:rPr>
        <w:t>nd</w:t>
      </w:r>
      <w:r>
        <w:rPr>
          <w:rFonts w:hint="eastAsia"/>
          <w:lang w:val="en-US" w:eastAsia="zh-CN"/>
        </w:rPr>
        <w:t xml:space="preserve"> intention is depicted as </w:t>
      </w:r>
      <w:r>
        <w:rPr>
          <w:rFonts w:hint="default"/>
          <w:lang w:val="en-US" w:eastAsia="zh-CN"/>
        </w:rPr>
        <w:t>“</w:t>
      </w:r>
      <w:r>
        <w:rPr>
          <w:rFonts w:hint="eastAsia"/>
          <w:color w:val="auto"/>
          <w:lang w:val="en-US" w:eastAsia="zh-CN"/>
        </w:rPr>
        <w:t>For</w:t>
      </w:r>
      <w:r>
        <w:rPr>
          <w:color w:val="auto"/>
          <w:lang w:val="en-US" w:eastAsia="zh-CN"/>
        </w:rPr>
        <w:t xml:space="preserve"> </w:t>
      </w:r>
      <w:r>
        <w:rPr>
          <w:rFonts w:hint="eastAsia"/>
          <w:color w:val="auto"/>
          <w:lang w:val="en-US" w:eastAsia="zh-CN"/>
        </w:rPr>
        <w:t xml:space="preserve">UE </w:t>
      </w:r>
      <w:r>
        <w:rPr>
          <w:color w:val="auto"/>
          <w:lang w:val="en-US" w:eastAsia="zh-CN"/>
        </w:rPr>
        <w:t xml:space="preserve">not in </w:t>
      </w:r>
      <w:r>
        <w:rPr>
          <w:rFonts w:hint="eastAsia"/>
          <w:color w:val="auto"/>
          <w:lang w:val="en-US" w:eastAsia="zh-CN"/>
        </w:rPr>
        <w:t>multiple-Rx simultaneous reception mode</w:t>
      </w:r>
      <w:r>
        <w:rPr>
          <w:rFonts w:hint="default"/>
          <w:lang w:val="en-US" w:eastAsia="zh-CN"/>
        </w:rPr>
        <w:t>”</w:t>
      </w:r>
      <w:r>
        <w:rPr>
          <w:rFonts w:hint="eastAsia"/>
          <w:lang w:val="en-US" w:eastAsia="zh-CN"/>
        </w:rPr>
        <w:t>.</w:t>
      </w:r>
    </w:p>
    <w:p>
      <w:pPr>
        <w:pStyle w:val="9"/>
        <w:bidi w:val="0"/>
        <w:rPr>
          <w:rFonts w:hint="default"/>
          <w:lang w:val="en-US" w:eastAsia="zh-CN"/>
        </w:rPr>
      </w:pPr>
      <w:r>
        <w:rPr>
          <w:rFonts w:hint="eastAsia"/>
          <w:lang w:val="en-US" w:eastAsia="zh-CN"/>
        </w:rPr>
        <w:t xml:space="preserve">So the above Option 1 proposed by us in 110bis meeting starts from the above intention of the two optimization, and try to make the wording of </w:t>
      </w:r>
      <w:r>
        <w:rPr>
          <w:rFonts w:hint="default"/>
          <w:lang w:val="en-US" w:eastAsia="zh-CN"/>
        </w:rPr>
        <w:t>“</w:t>
      </w:r>
      <w:r>
        <w:rPr>
          <w:rFonts w:hint="eastAsia"/>
          <w:color w:val="auto"/>
          <w:lang w:val="en-US" w:eastAsia="zh-CN"/>
        </w:rPr>
        <w:t>For</w:t>
      </w:r>
      <w:r>
        <w:rPr>
          <w:color w:val="auto"/>
          <w:lang w:val="en-US" w:eastAsia="zh-CN"/>
        </w:rPr>
        <w:t xml:space="preserve"> </w:t>
      </w:r>
      <w:r>
        <w:rPr>
          <w:rFonts w:hint="eastAsia"/>
          <w:color w:val="auto"/>
          <w:lang w:val="en-US" w:eastAsia="zh-CN"/>
        </w:rPr>
        <w:t xml:space="preserve">UE </w:t>
      </w:r>
      <w:r>
        <w:rPr>
          <w:color w:val="auto"/>
          <w:lang w:val="en-US" w:eastAsia="zh-CN"/>
        </w:rPr>
        <w:t xml:space="preserve">not in </w:t>
      </w:r>
      <w:r>
        <w:rPr>
          <w:rFonts w:hint="eastAsia"/>
          <w:color w:val="auto"/>
          <w:lang w:val="en-US" w:eastAsia="zh-CN"/>
        </w:rPr>
        <w:t>multiple-Rx simultaneous reception mode</w:t>
      </w:r>
      <w:r>
        <w:rPr>
          <w:rFonts w:hint="default"/>
          <w:lang w:val="en-US" w:eastAsia="zh-CN"/>
        </w:rPr>
        <w:t>”</w:t>
      </w:r>
      <w:r>
        <w:rPr>
          <w:rFonts w:hint="eastAsia"/>
          <w:lang w:val="en-US" w:eastAsia="zh-CN"/>
        </w:rPr>
        <w:t xml:space="preserve"> more clear. If company has concern on how to understand </w:t>
      </w:r>
      <w:r>
        <w:rPr>
          <w:rFonts w:hint="default"/>
          <w:lang w:val="en-US" w:eastAsia="zh-CN"/>
        </w:rPr>
        <w:t>“</w:t>
      </w:r>
      <w:r>
        <w:rPr>
          <w:rFonts w:hint="eastAsia"/>
          <w:lang w:val="en-US" w:eastAsia="zh-CN"/>
        </w:rPr>
        <w:t>work in single-Rx</w:t>
      </w:r>
      <w:r>
        <w:rPr>
          <w:rFonts w:hint="default"/>
          <w:lang w:val="en-US" w:eastAsia="zh-CN"/>
        </w:rPr>
        <w:t>”</w:t>
      </w:r>
      <w:r>
        <w:rPr>
          <w:rFonts w:hint="eastAsia"/>
          <w:lang w:val="en-US" w:eastAsia="zh-CN"/>
        </w:rPr>
        <w:t xml:space="preserve">, we believe the wording can be refined to </w:t>
      </w:r>
      <w:r>
        <w:rPr>
          <w:szCs w:val="21"/>
          <w:highlight w:val="none"/>
        </w:rPr>
        <w:t xml:space="preserve">2) The UE is capable of </w:t>
      </w:r>
      <w:r>
        <w:rPr>
          <w:rFonts w:hint="eastAsia" w:eastAsia="宋体"/>
          <w:szCs w:val="21"/>
          <w:highlight w:val="none"/>
          <w:lang w:val="en-US" w:eastAsia="zh-CN"/>
        </w:rPr>
        <w:t xml:space="preserve">R18 </w:t>
      </w:r>
      <w:r>
        <w:rPr>
          <w:szCs w:val="21"/>
          <w:highlight w:val="none"/>
        </w:rPr>
        <w:t xml:space="preserve">multi-Rx but work in </w:t>
      </w:r>
      <w:r>
        <w:rPr>
          <w:rFonts w:hint="eastAsia" w:eastAsia="宋体"/>
          <w:szCs w:val="21"/>
          <w:highlight w:val="none"/>
          <w:lang w:val="en-US" w:eastAsia="zh-CN"/>
        </w:rPr>
        <w:t>normal mode</w:t>
      </w:r>
      <w:r>
        <w:rPr>
          <w:szCs w:val="21"/>
          <w:highlight w:val="none"/>
        </w:rPr>
        <w:t>.</w:t>
      </w:r>
    </w:p>
    <w:p>
      <w:pPr>
        <w:pStyle w:val="9"/>
        <w:bidi w:val="0"/>
        <w:rPr>
          <w:rFonts w:hint="default" w:cs="Arial"/>
          <w:lang w:val="en-US" w:eastAsia="zh-CN"/>
        </w:rPr>
      </w:pPr>
      <w:r>
        <w:rPr>
          <w:rFonts w:hint="eastAsia"/>
          <w:b/>
          <w:bCs/>
          <w:lang w:val="en-US" w:eastAsia="zh-CN"/>
        </w:rPr>
        <w:t xml:space="preserve">Proposal 2: It should be clarified that“For UE not in multiple-Rx simultaneous reception mode” includes two cases: 1) The UE is not capable of </w:t>
      </w:r>
      <w:r>
        <w:rPr>
          <w:rFonts w:hint="eastAsia"/>
          <w:b/>
          <w:bCs/>
          <w:highlight w:val="yellow"/>
          <w:lang w:val="en-US" w:eastAsia="zh-CN"/>
        </w:rPr>
        <w:t>R18</w:t>
      </w:r>
      <w:r>
        <w:rPr>
          <w:rFonts w:hint="eastAsia"/>
          <w:b/>
          <w:bCs/>
          <w:lang w:val="en-US" w:eastAsia="zh-CN"/>
        </w:rPr>
        <w:t xml:space="preserve"> multi-Rx; 2) The UE is capable of </w:t>
      </w:r>
      <w:r>
        <w:rPr>
          <w:rFonts w:hint="eastAsia"/>
          <w:b/>
          <w:bCs/>
          <w:highlight w:val="yellow"/>
          <w:lang w:val="en-US" w:eastAsia="zh-CN"/>
        </w:rPr>
        <w:t>R18</w:t>
      </w:r>
      <w:r>
        <w:rPr>
          <w:rFonts w:hint="eastAsia"/>
          <w:b/>
          <w:bCs/>
          <w:lang w:val="en-US" w:eastAsia="zh-CN"/>
        </w:rPr>
        <w:t xml:space="preserve"> multi-Rx but work in </w:t>
      </w:r>
      <w:r>
        <w:rPr>
          <w:rFonts w:hint="eastAsia"/>
          <w:b/>
          <w:bCs/>
          <w:highlight w:val="yellow"/>
          <w:lang w:val="en-US" w:eastAsia="zh-CN"/>
        </w:rPr>
        <w:t>normal mode</w:t>
      </w:r>
      <w:r>
        <w:rPr>
          <w:rFonts w:hint="eastAsia"/>
          <w:b/>
          <w:bCs/>
          <w:lang w:val="en-US" w:eastAsia="zh-CN"/>
        </w:rPr>
        <w:t xml:space="preserve"> currently.</w:t>
      </w:r>
    </w:p>
    <w:p>
      <w:pPr>
        <w:keepNext w:val="0"/>
        <w:keepLines w:val="0"/>
        <w:pageBreakBefore w:val="0"/>
        <w:widowControl/>
        <w:numPr>
          <w:ilvl w:val="0"/>
          <w:numId w:val="0"/>
        </w:numPr>
        <w:kinsoku/>
        <w:wordWrap/>
        <w:overflowPunct/>
        <w:topLinePunct w:val="0"/>
        <w:autoSpaceDE/>
        <w:autoSpaceDN/>
        <w:bidi w:val="0"/>
        <w:adjustRightInd/>
        <w:snapToGrid/>
        <w:spacing w:after="157" w:afterLines="50"/>
        <w:ind w:leftChars="0"/>
        <w:textAlignment w:val="auto"/>
        <w:rPr>
          <w:rFonts w:hint="default"/>
          <w:u w:val="single"/>
          <w:lang w:val="en-US" w:eastAsia="zh-CN"/>
        </w:rPr>
      </w:pPr>
      <w:r>
        <w:rPr>
          <w:rFonts w:hint="eastAsia"/>
          <w:u w:val="single"/>
          <w:lang w:val="en-US" w:eastAsia="zh-CN"/>
        </w:rPr>
        <w:t>Exact solution</w:t>
      </w:r>
    </w:p>
    <w:p>
      <w:pPr>
        <w:pStyle w:val="9"/>
        <w:numPr>
          <w:ilvl w:val="0"/>
          <w:numId w:val="0"/>
        </w:numPr>
        <w:bidi w:val="0"/>
        <w:ind w:leftChars="0"/>
        <w:rPr>
          <w:rFonts w:hint="eastAsia"/>
          <w:lang w:val="en-US" w:eastAsia="zh-CN"/>
        </w:rPr>
      </w:pPr>
      <w:r>
        <w:rPr>
          <w:rFonts w:hint="eastAsia"/>
          <w:lang w:val="en-US" w:eastAsia="zh-CN"/>
        </w:rPr>
        <w:t>During previous meetings, multiple solutions proposed by companies. We classify them into multiple types:</w:t>
      </w:r>
    </w:p>
    <w:p>
      <w:pPr>
        <w:pStyle w:val="9"/>
        <w:numPr>
          <w:ilvl w:val="0"/>
          <w:numId w:val="8"/>
        </w:numPr>
        <w:bidi w:val="0"/>
        <w:ind w:left="420" w:leftChars="0" w:hanging="420" w:firstLineChars="0"/>
        <w:rPr>
          <w:rFonts w:hint="eastAsia"/>
          <w:lang w:val="en-US" w:eastAsia="zh-CN"/>
        </w:rPr>
      </w:pPr>
      <w:r>
        <w:rPr>
          <w:rFonts w:hint="eastAsia"/>
          <w:lang w:val="en-US" w:eastAsia="zh-CN"/>
        </w:rPr>
        <w:t>Type 1: Only measure one serving carrier per band</w:t>
      </w:r>
    </w:p>
    <w:p>
      <w:pPr>
        <w:pStyle w:val="9"/>
        <w:numPr>
          <w:ilvl w:val="0"/>
          <w:numId w:val="8"/>
        </w:numPr>
        <w:bidi w:val="0"/>
        <w:ind w:left="420" w:leftChars="0" w:hanging="420" w:firstLineChars="0"/>
        <w:rPr>
          <w:rFonts w:hint="eastAsia"/>
          <w:sz w:val="13"/>
          <w:szCs w:val="13"/>
          <w:lang w:val="en-US" w:eastAsia="zh-CN"/>
        </w:rPr>
      </w:pPr>
      <w:r>
        <w:rPr>
          <w:rFonts w:hint="eastAsia"/>
          <w:lang w:val="en-US" w:eastAsia="zh-CN"/>
        </w:rPr>
        <w:t>Type 2: Dynamic searcher sharing between PCC and SCC</w:t>
      </w:r>
    </w:p>
    <w:p>
      <w:pPr>
        <w:pStyle w:val="9"/>
        <w:numPr>
          <w:ilvl w:val="0"/>
          <w:numId w:val="8"/>
        </w:numPr>
        <w:bidi w:val="0"/>
        <w:ind w:left="420" w:leftChars="0" w:hanging="420" w:firstLineChars="0"/>
        <w:rPr>
          <w:rFonts w:hint="eastAsia"/>
          <w:sz w:val="13"/>
          <w:szCs w:val="13"/>
          <w:lang w:val="en-US" w:eastAsia="zh-CN"/>
        </w:rPr>
      </w:pPr>
      <w:r>
        <w:rPr>
          <w:rFonts w:hint="eastAsia"/>
          <w:lang w:val="en-US" w:eastAsia="zh-CN"/>
        </w:rPr>
        <w:t>Type 3: Adaptation on 2*N</w:t>
      </w:r>
      <w:r>
        <w:rPr>
          <w:rFonts w:hint="eastAsia"/>
          <w:sz w:val="13"/>
          <w:szCs w:val="13"/>
          <w:lang w:val="en-US" w:eastAsia="zh-CN"/>
        </w:rPr>
        <w:t>SCC_CSIRS</w:t>
      </w:r>
    </w:p>
    <w:p>
      <w:pPr>
        <w:pStyle w:val="9"/>
        <w:numPr>
          <w:ilvl w:val="0"/>
          <w:numId w:val="8"/>
        </w:numPr>
        <w:bidi w:val="0"/>
        <w:ind w:left="420" w:leftChars="0" w:hanging="420" w:firstLineChars="0"/>
        <w:rPr>
          <w:rFonts w:hint="default"/>
          <w:sz w:val="13"/>
          <w:szCs w:val="13"/>
          <w:lang w:val="en-US" w:eastAsia="zh-CN"/>
        </w:rPr>
      </w:pPr>
      <w:r>
        <w:rPr>
          <w:rFonts w:hint="eastAsia"/>
          <w:lang w:val="en-US" w:eastAsia="zh-CN"/>
        </w:rPr>
        <w:t>Type 4: Adaptation on the assumption of searcher number</w:t>
      </w:r>
    </w:p>
    <w:p>
      <w:pPr>
        <w:pStyle w:val="9"/>
        <w:numPr>
          <w:ilvl w:val="0"/>
          <w:numId w:val="0"/>
        </w:numPr>
        <w:bidi w:val="0"/>
        <w:ind w:leftChars="0"/>
        <w:rPr>
          <w:rFonts w:hint="default"/>
          <w:lang w:val="en-US" w:eastAsia="zh-CN"/>
        </w:rPr>
      </w:pPr>
      <w:r>
        <w:rPr>
          <w:rFonts w:hint="eastAsia"/>
          <w:lang w:val="en-US" w:eastAsia="zh-CN"/>
        </w:rPr>
        <w:t xml:space="preserve">From our point of view, we are open to all types of optimization. It seems that Type 1 and Type 2 can be deemed as the starting point. </w:t>
      </w:r>
    </w:p>
    <w:p>
      <w:pPr>
        <w:pStyle w:val="9"/>
        <w:numPr>
          <w:ilvl w:val="0"/>
          <w:numId w:val="0"/>
        </w:numPr>
        <w:bidi w:val="0"/>
        <w:ind w:leftChars="0"/>
        <w:rPr>
          <w:rFonts w:hint="eastAsia"/>
          <w:b/>
          <w:bCs/>
          <w:lang w:val="en-US" w:eastAsia="zh-CN"/>
        </w:rPr>
      </w:pPr>
      <w:r>
        <w:rPr>
          <w:rFonts w:hint="eastAsia"/>
          <w:b/>
          <w:bCs/>
          <w:lang w:val="en-US" w:eastAsia="zh-CN"/>
        </w:rPr>
        <w:t>Observation 1: Multiple solutions proposed by companies. We classify them into multiple types:</w:t>
      </w:r>
    </w:p>
    <w:p>
      <w:pPr>
        <w:pStyle w:val="9"/>
        <w:numPr>
          <w:ilvl w:val="0"/>
          <w:numId w:val="8"/>
        </w:numPr>
        <w:bidi w:val="0"/>
        <w:ind w:left="420" w:leftChars="0" w:hanging="420" w:firstLineChars="0"/>
        <w:rPr>
          <w:rFonts w:hint="eastAsia"/>
          <w:b/>
          <w:bCs/>
          <w:lang w:val="en-US" w:eastAsia="zh-CN"/>
        </w:rPr>
      </w:pPr>
      <w:r>
        <w:rPr>
          <w:rFonts w:hint="eastAsia"/>
          <w:b/>
          <w:bCs/>
          <w:lang w:val="en-US" w:eastAsia="zh-CN"/>
        </w:rPr>
        <w:t>Type 1: Only measure one serving carrier per band</w:t>
      </w:r>
    </w:p>
    <w:p>
      <w:pPr>
        <w:pStyle w:val="9"/>
        <w:numPr>
          <w:ilvl w:val="0"/>
          <w:numId w:val="8"/>
        </w:numPr>
        <w:bidi w:val="0"/>
        <w:ind w:left="420" w:leftChars="0" w:hanging="420" w:firstLineChars="0"/>
        <w:rPr>
          <w:rFonts w:hint="eastAsia"/>
          <w:b/>
          <w:bCs/>
          <w:lang w:val="en-US" w:eastAsia="zh-CN"/>
        </w:rPr>
      </w:pPr>
      <w:r>
        <w:rPr>
          <w:rFonts w:hint="eastAsia"/>
          <w:b/>
          <w:bCs/>
          <w:lang w:val="en-US" w:eastAsia="zh-CN"/>
        </w:rPr>
        <w:t>Type 2: Dynamic searcher sharing between PCC and SCC</w:t>
      </w:r>
    </w:p>
    <w:p>
      <w:pPr>
        <w:pStyle w:val="9"/>
        <w:numPr>
          <w:ilvl w:val="0"/>
          <w:numId w:val="8"/>
        </w:numPr>
        <w:bidi w:val="0"/>
        <w:ind w:left="420" w:leftChars="0" w:hanging="420" w:firstLineChars="0"/>
        <w:rPr>
          <w:rFonts w:hint="eastAsia"/>
          <w:b/>
          <w:bCs/>
          <w:lang w:val="en-US" w:eastAsia="zh-CN"/>
        </w:rPr>
      </w:pPr>
      <w:r>
        <w:rPr>
          <w:rFonts w:hint="eastAsia"/>
          <w:b/>
          <w:bCs/>
          <w:lang w:val="en-US" w:eastAsia="zh-CN"/>
        </w:rPr>
        <w:t>Type 3: Adaptation on 2*N</w:t>
      </w:r>
      <w:r>
        <w:rPr>
          <w:rFonts w:hint="eastAsia"/>
          <w:b/>
          <w:bCs/>
          <w:sz w:val="13"/>
          <w:szCs w:val="13"/>
          <w:lang w:val="en-US" w:eastAsia="zh-CN"/>
        </w:rPr>
        <w:t>SCC_CSIRS</w:t>
      </w:r>
    </w:p>
    <w:p>
      <w:pPr>
        <w:pStyle w:val="9"/>
        <w:numPr>
          <w:ilvl w:val="0"/>
          <w:numId w:val="8"/>
        </w:numPr>
        <w:bidi w:val="0"/>
        <w:ind w:left="420" w:leftChars="0" w:hanging="420" w:firstLineChars="0"/>
        <w:rPr>
          <w:rFonts w:hint="default"/>
          <w:b/>
          <w:bCs/>
          <w:lang w:val="en-US" w:eastAsia="zh-CN"/>
        </w:rPr>
      </w:pPr>
      <w:r>
        <w:rPr>
          <w:rFonts w:hint="eastAsia"/>
          <w:b/>
          <w:bCs/>
          <w:lang w:val="en-US" w:eastAsia="zh-CN"/>
        </w:rPr>
        <w:t>Type 4: Adaptation on the assumption of searcher number</w:t>
      </w:r>
    </w:p>
    <w:p>
      <w:pPr>
        <w:pStyle w:val="9"/>
        <w:numPr>
          <w:ilvl w:val="0"/>
          <w:numId w:val="0"/>
        </w:numPr>
        <w:bidi w:val="0"/>
        <w:ind w:leftChars="0"/>
        <w:rPr>
          <w:rFonts w:hint="default"/>
          <w:b/>
          <w:bCs/>
          <w:lang w:val="en-US" w:eastAsia="zh-CN"/>
        </w:rPr>
      </w:pPr>
      <w:r>
        <w:rPr>
          <w:rFonts w:hint="eastAsia"/>
          <w:b/>
          <w:bCs/>
          <w:lang w:val="en-US" w:eastAsia="zh-CN"/>
        </w:rPr>
        <w:t xml:space="preserve">Proposal 3: Type 1 and Type 2 can be deemed as the starting point.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eastAsia="宋体"/>
          <w:bCs/>
          <w:color w:val="auto"/>
          <w:sz w:val="20"/>
          <w:szCs w:val="20"/>
          <w:lang w:val="en-US" w:eastAsia="zh-CN"/>
        </w:rPr>
      </w:pPr>
      <w:r>
        <w:rPr>
          <w:rFonts w:hint="eastAsia"/>
          <w:b/>
          <w:bCs/>
          <w:lang w:val="en-US" w:eastAsia="zh-CN"/>
        </w:rPr>
        <w:t>Proposal 1: For the CSSF enhancement, CA, EN-DC, NE-DC and NR-DC are applicable scenarios.</w:t>
      </w:r>
    </w:p>
    <w:p>
      <w:pPr>
        <w:pStyle w:val="9"/>
        <w:bidi w:val="0"/>
        <w:rPr>
          <w:rFonts w:hint="default" w:cs="Arial"/>
          <w:lang w:val="en-US" w:eastAsia="zh-CN"/>
        </w:rPr>
      </w:pPr>
      <w:r>
        <w:rPr>
          <w:rFonts w:hint="eastAsia"/>
          <w:b/>
          <w:bCs/>
          <w:lang w:val="en-US" w:eastAsia="zh-CN"/>
        </w:rPr>
        <w:t xml:space="preserve">Proposal 2: It should be clarified that“For UE not in multiple-Rx simultaneous reception mode” includes two cases: 1) The UE is not capable of </w:t>
      </w:r>
      <w:r>
        <w:rPr>
          <w:rFonts w:hint="eastAsia"/>
          <w:b/>
          <w:bCs/>
          <w:highlight w:val="yellow"/>
          <w:lang w:val="en-US" w:eastAsia="zh-CN"/>
        </w:rPr>
        <w:t>R18</w:t>
      </w:r>
      <w:r>
        <w:rPr>
          <w:rFonts w:hint="eastAsia"/>
          <w:b/>
          <w:bCs/>
          <w:lang w:val="en-US" w:eastAsia="zh-CN"/>
        </w:rPr>
        <w:t xml:space="preserve"> multi-Rx; 2) The UE is capable of </w:t>
      </w:r>
      <w:r>
        <w:rPr>
          <w:rFonts w:hint="eastAsia"/>
          <w:b/>
          <w:bCs/>
          <w:highlight w:val="yellow"/>
          <w:lang w:val="en-US" w:eastAsia="zh-CN"/>
        </w:rPr>
        <w:t>R18</w:t>
      </w:r>
      <w:r>
        <w:rPr>
          <w:rFonts w:hint="eastAsia"/>
          <w:b/>
          <w:bCs/>
          <w:lang w:val="en-US" w:eastAsia="zh-CN"/>
        </w:rPr>
        <w:t xml:space="preserve"> multi-Rx but work in </w:t>
      </w:r>
      <w:r>
        <w:rPr>
          <w:rFonts w:hint="eastAsia"/>
          <w:b/>
          <w:bCs/>
          <w:highlight w:val="yellow"/>
          <w:lang w:val="en-US" w:eastAsia="zh-CN"/>
        </w:rPr>
        <w:t>normal mode</w:t>
      </w:r>
      <w:r>
        <w:rPr>
          <w:rFonts w:hint="eastAsia"/>
          <w:b/>
          <w:bCs/>
          <w:lang w:val="en-US" w:eastAsia="zh-CN"/>
        </w:rPr>
        <w:t xml:space="preserve"> currently.(highlight the refining part)</w:t>
      </w:r>
    </w:p>
    <w:p>
      <w:pPr>
        <w:pStyle w:val="9"/>
        <w:numPr>
          <w:ilvl w:val="0"/>
          <w:numId w:val="0"/>
        </w:numPr>
        <w:bidi w:val="0"/>
        <w:ind w:leftChars="0"/>
        <w:rPr>
          <w:rFonts w:hint="eastAsia"/>
          <w:b/>
          <w:bCs/>
          <w:lang w:val="en-US" w:eastAsia="zh-CN"/>
        </w:rPr>
      </w:pPr>
      <w:r>
        <w:rPr>
          <w:rFonts w:hint="eastAsia"/>
          <w:b/>
          <w:bCs/>
          <w:lang w:val="en-US" w:eastAsia="zh-CN"/>
        </w:rPr>
        <w:t>Observation 1: Multiple solutions proposed by companies. We classify them into multiple types:</w:t>
      </w:r>
    </w:p>
    <w:p>
      <w:pPr>
        <w:pStyle w:val="9"/>
        <w:numPr>
          <w:ilvl w:val="0"/>
          <w:numId w:val="8"/>
        </w:numPr>
        <w:bidi w:val="0"/>
        <w:ind w:left="420" w:leftChars="0" w:hanging="420" w:firstLineChars="0"/>
        <w:rPr>
          <w:rFonts w:hint="eastAsia"/>
          <w:b/>
          <w:bCs/>
          <w:lang w:val="en-US" w:eastAsia="zh-CN"/>
        </w:rPr>
      </w:pPr>
      <w:r>
        <w:rPr>
          <w:rFonts w:hint="eastAsia"/>
          <w:b/>
          <w:bCs/>
          <w:lang w:val="en-US" w:eastAsia="zh-CN"/>
        </w:rPr>
        <w:t>Type 1: Only measure one serving carrier per band</w:t>
      </w:r>
    </w:p>
    <w:p>
      <w:pPr>
        <w:pStyle w:val="9"/>
        <w:numPr>
          <w:ilvl w:val="0"/>
          <w:numId w:val="8"/>
        </w:numPr>
        <w:bidi w:val="0"/>
        <w:ind w:left="420" w:leftChars="0" w:hanging="420" w:firstLineChars="0"/>
        <w:rPr>
          <w:rFonts w:hint="eastAsia"/>
          <w:b/>
          <w:bCs/>
          <w:lang w:val="en-US" w:eastAsia="zh-CN"/>
        </w:rPr>
      </w:pPr>
      <w:r>
        <w:rPr>
          <w:rFonts w:hint="eastAsia"/>
          <w:b/>
          <w:bCs/>
          <w:lang w:val="en-US" w:eastAsia="zh-CN"/>
        </w:rPr>
        <w:t>Type 2: Dynamic searcher sharing between PCC and SCC</w:t>
      </w:r>
    </w:p>
    <w:p>
      <w:pPr>
        <w:pStyle w:val="9"/>
        <w:numPr>
          <w:ilvl w:val="0"/>
          <w:numId w:val="8"/>
        </w:numPr>
        <w:bidi w:val="0"/>
        <w:ind w:left="420" w:leftChars="0" w:hanging="420" w:firstLineChars="0"/>
        <w:rPr>
          <w:rFonts w:hint="eastAsia"/>
          <w:b/>
          <w:bCs/>
          <w:lang w:val="en-US" w:eastAsia="zh-CN"/>
        </w:rPr>
      </w:pPr>
      <w:r>
        <w:rPr>
          <w:rFonts w:hint="eastAsia"/>
          <w:b/>
          <w:bCs/>
          <w:lang w:val="en-US" w:eastAsia="zh-CN"/>
        </w:rPr>
        <w:t>Type 3: Adaptation on 2*N</w:t>
      </w:r>
      <w:r>
        <w:rPr>
          <w:rFonts w:hint="eastAsia"/>
          <w:b/>
          <w:bCs/>
          <w:sz w:val="13"/>
          <w:szCs w:val="13"/>
          <w:lang w:val="en-US" w:eastAsia="zh-CN"/>
        </w:rPr>
        <w:t>SCC_CSIRS</w:t>
      </w:r>
    </w:p>
    <w:p>
      <w:pPr>
        <w:pStyle w:val="9"/>
        <w:numPr>
          <w:ilvl w:val="0"/>
          <w:numId w:val="8"/>
        </w:numPr>
        <w:bidi w:val="0"/>
        <w:ind w:left="420" w:leftChars="0" w:hanging="420" w:firstLineChars="0"/>
        <w:rPr>
          <w:rFonts w:hint="default"/>
          <w:b/>
          <w:bCs/>
          <w:lang w:val="en-US" w:eastAsia="zh-CN"/>
        </w:rPr>
      </w:pPr>
      <w:r>
        <w:rPr>
          <w:rFonts w:hint="eastAsia"/>
          <w:b/>
          <w:bCs/>
          <w:lang w:val="en-US" w:eastAsia="zh-CN"/>
        </w:rPr>
        <w:t>Type 4: Adaptation on the assumption of searcher number</w:t>
      </w:r>
    </w:p>
    <w:p>
      <w:pPr>
        <w:pStyle w:val="9"/>
        <w:numPr>
          <w:ilvl w:val="0"/>
          <w:numId w:val="0"/>
        </w:numPr>
        <w:bidi w:val="0"/>
        <w:ind w:leftChars="0"/>
        <w:rPr>
          <w:rFonts w:hint="default"/>
          <w:b/>
          <w:bCs/>
          <w:lang w:val="en-US" w:eastAsia="zh-CN"/>
        </w:rPr>
      </w:pPr>
      <w:r>
        <w:rPr>
          <w:rFonts w:hint="eastAsia"/>
          <w:b/>
          <w:bCs/>
          <w:lang w:val="en-US" w:eastAsia="zh-CN"/>
        </w:rPr>
        <w:t xml:space="preserve">Proposal 3: Type 1 and Type 2 can be deemed as the starting point. </w:t>
      </w:r>
    </w:p>
    <w:p>
      <w:pPr>
        <w:pStyle w:val="9"/>
        <w:bidi w:val="0"/>
        <w:rPr>
          <w:rFonts w:hint="eastAsia"/>
          <w:b/>
          <w:bCs/>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RP-240830 </w:t>
      </w:r>
      <w:r>
        <w:rPr>
          <w:rFonts w:hint="default"/>
          <w:color w:val="auto"/>
          <w:sz w:val="20"/>
          <w:szCs w:val="20"/>
          <w:highlight w:val="none"/>
          <w:lang w:val="en-US" w:eastAsia="zh-CN"/>
        </w:rPr>
        <w:t>“New WID: WI resulting from discussion on RRM enhancements”</w:t>
      </w:r>
      <w:r>
        <w:rPr>
          <w:rFonts w:hint="eastAsia"/>
          <w:color w:val="auto"/>
          <w:sz w:val="20"/>
          <w:szCs w:val="20"/>
          <w:highlight w:val="none"/>
          <w:lang w:val="en-US" w:eastAsia="zh-CN"/>
        </w:rPr>
        <w:t>, vivo</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R4-2404368 </w:t>
      </w:r>
      <w:r>
        <w:rPr>
          <w:rFonts w:hint="default"/>
          <w:color w:val="auto"/>
          <w:sz w:val="20"/>
          <w:szCs w:val="20"/>
          <w:highlight w:val="none"/>
          <w:lang w:val="en-US" w:eastAsia="zh-CN"/>
        </w:rPr>
        <w:t>“Work plan for R19 RRM Phase 5 WI”</w:t>
      </w:r>
      <w:r>
        <w:rPr>
          <w:rFonts w:hint="eastAsia"/>
          <w:color w:val="auto"/>
          <w:sz w:val="20"/>
          <w:szCs w:val="20"/>
          <w:highlight w:val="none"/>
          <w:lang w:val="en-US" w:eastAsia="zh-CN"/>
        </w:rPr>
        <w:t>, Apple, CATT</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R4-2406392 </w:t>
      </w:r>
      <w:r>
        <w:rPr>
          <w:rFonts w:hint="default"/>
          <w:color w:val="auto"/>
          <w:sz w:val="20"/>
          <w:szCs w:val="20"/>
          <w:highlight w:val="none"/>
          <w:lang w:val="en-US" w:eastAsia="zh-CN"/>
        </w:rPr>
        <w:t>“WF for [110bis][2</w:t>
      </w:r>
      <w:r>
        <w:rPr>
          <w:rFonts w:hint="eastAsia"/>
          <w:color w:val="auto"/>
          <w:sz w:val="20"/>
          <w:szCs w:val="20"/>
          <w:highlight w:val="none"/>
          <w:lang w:val="en-US" w:eastAsia="zh-CN"/>
        </w:rPr>
        <w:t>30</w:t>
      </w:r>
      <w:r>
        <w:rPr>
          <w:rFonts w:hint="default"/>
          <w:color w:val="auto"/>
          <w:sz w:val="20"/>
          <w:szCs w:val="20"/>
          <w:highlight w:val="none"/>
          <w:lang w:val="en-US" w:eastAsia="zh-CN"/>
        </w:rPr>
        <w:t>] NR_RRM_Ph5”</w:t>
      </w:r>
      <w:r>
        <w:rPr>
          <w:rFonts w:hint="eastAsia"/>
          <w:color w:val="auto"/>
          <w:sz w:val="20"/>
          <w:szCs w:val="20"/>
          <w:highlight w:val="none"/>
          <w:lang w:val="en-US" w:eastAsia="zh-CN"/>
        </w:rPr>
        <w:t>, Apple</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Arial Unicode MS">
    <w:panose1 w:val="020B0604020202020204"/>
    <w:charset w:val="86"/>
    <w:family w:val="swiss"/>
    <w:pitch w:val="default"/>
    <w:sig w:usb0="FFFFFFFF" w:usb1="E9FFFFFF" w:usb2="0000003F" w:usb3="00000000" w:csb0="603F01FF" w:csb1="FFFF0000"/>
  </w:font>
  <w:font w:name="等线">
    <w:altName w:val="Arial Unicode MS"/>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F9479D"/>
    <w:multiLevelType w:val="singleLevel"/>
    <w:tmpl w:val="B4F9479D"/>
    <w:lvl w:ilvl="0" w:tentative="0">
      <w:start w:val="1"/>
      <w:numFmt w:val="bullet"/>
      <w:lvlText w:val=""/>
      <w:lvlJc w:val="left"/>
      <w:pPr>
        <w:ind w:left="420" w:hanging="420"/>
      </w:pPr>
      <w:rPr>
        <w:rFonts w:hint="default" w:ascii="Wingdings" w:hAnsi="Wingdings"/>
      </w:rPr>
    </w:lvl>
  </w:abstractNum>
  <w:abstractNum w:abstractNumId="1">
    <w:nsid w:val="DBCF5E2D"/>
    <w:multiLevelType w:val="singleLevel"/>
    <w:tmpl w:val="DBCF5E2D"/>
    <w:lvl w:ilvl="0" w:tentative="0">
      <w:start w:val="1"/>
      <w:numFmt w:val="bullet"/>
      <w:lvlText w:val=""/>
      <w:lvlJc w:val="left"/>
      <w:pPr>
        <w:ind w:left="420" w:hanging="420"/>
      </w:pPr>
      <w:rPr>
        <w:rFonts w:hint="default" w:ascii="Wingdings" w:hAnsi="Wingdings"/>
      </w:rPr>
    </w:lvl>
  </w:abstractNum>
  <w:abstractNum w:abstractNumId="2">
    <w:nsid w:val="DC4FDA6D"/>
    <w:multiLevelType w:val="singleLevel"/>
    <w:tmpl w:val="DC4FDA6D"/>
    <w:lvl w:ilvl="0" w:tentative="0">
      <w:start w:val="1"/>
      <w:numFmt w:val="decimal"/>
      <w:suff w:val="space"/>
      <w:lvlText w:val="[%1]"/>
      <w:lvlJc w:val="left"/>
    </w:lvl>
  </w:abstractNum>
  <w:abstractNum w:abstractNumId="3">
    <w:nsid w:val="0DEA78D8"/>
    <w:multiLevelType w:val="multilevel"/>
    <w:tmpl w:val="0DEA78D8"/>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o"/>
      <w:lvlJc w:val="left"/>
      <w:pPr>
        <w:ind w:left="2120" w:hanging="44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5"/>
  </w:num>
  <w:num w:numId="3">
    <w:abstractNumId w:val="4"/>
  </w:num>
  <w:num w:numId="4">
    <w:abstractNumId w:val="8"/>
  </w:num>
  <w:num w:numId="5">
    <w:abstractNumId w:val="3"/>
  </w:num>
  <w:num w:numId="6">
    <w:abstractNumId w:val="1"/>
  </w:num>
  <w:num w:numId="7">
    <w:abstractNumId w:val="6"/>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94B0F"/>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93DEF"/>
    <w:rsid w:val="0BAF5541"/>
    <w:rsid w:val="0BB0429A"/>
    <w:rsid w:val="0BB97253"/>
    <w:rsid w:val="0BDE36C2"/>
    <w:rsid w:val="0BE1300C"/>
    <w:rsid w:val="0BFF5FC6"/>
    <w:rsid w:val="0C265CE3"/>
    <w:rsid w:val="0C394019"/>
    <w:rsid w:val="0C491F24"/>
    <w:rsid w:val="0C5D35AC"/>
    <w:rsid w:val="0C636AE4"/>
    <w:rsid w:val="0C6D1703"/>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4A4EA7"/>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DFB58F0"/>
    <w:rsid w:val="2E014790"/>
    <w:rsid w:val="2E0265C0"/>
    <w:rsid w:val="2E1017A1"/>
    <w:rsid w:val="2E540AA2"/>
    <w:rsid w:val="2E8D151C"/>
    <w:rsid w:val="2E9A328C"/>
    <w:rsid w:val="2E9B6813"/>
    <w:rsid w:val="2E9C68B8"/>
    <w:rsid w:val="2E9C766C"/>
    <w:rsid w:val="2EA9176F"/>
    <w:rsid w:val="2EAE3922"/>
    <w:rsid w:val="2EB1033E"/>
    <w:rsid w:val="2EB32811"/>
    <w:rsid w:val="2EB727B2"/>
    <w:rsid w:val="2EE51747"/>
    <w:rsid w:val="2EE77680"/>
    <w:rsid w:val="2EEC1357"/>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9C3256"/>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A74BC0"/>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B93137"/>
    <w:rsid w:val="4EC51EDB"/>
    <w:rsid w:val="4EC97CA3"/>
    <w:rsid w:val="4ECF7385"/>
    <w:rsid w:val="4EDD3046"/>
    <w:rsid w:val="4EE33FE5"/>
    <w:rsid w:val="4EF13342"/>
    <w:rsid w:val="4F180584"/>
    <w:rsid w:val="4F182411"/>
    <w:rsid w:val="4F231B66"/>
    <w:rsid w:val="4F30413A"/>
    <w:rsid w:val="4F311119"/>
    <w:rsid w:val="4F36618E"/>
    <w:rsid w:val="4F3E1627"/>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2283D"/>
    <w:rsid w:val="56371459"/>
    <w:rsid w:val="563C6522"/>
    <w:rsid w:val="563E23DC"/>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9015F"/>
    <w:rsid w:val="582F1895"/>
    <w:rsid w:val="58302CCE"/>
    <w:rsid w:val="58474CE2"/>
    <w:rsid w:val="584B6A8E"/>
    <w:rsid w:val="58532FAC"/>
    <w:rsid w:val="585A78D7"/>
    <w:rsid w:val="585C6786"/>
    <w:rsid w:val="58793674"/>
    <w:rsid w:val="58804FBD"/>
    <w:rsid w:val="589408A7"/>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BD1846"/>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864F8"/>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4C20A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555E8B"/>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2024-08-09T15:49:58Z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